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DE525B" w14:textId="77777777" w:rsidR="006B0803" w:rsidRDefault="006B0803" w:rsidP="006B0803">
      <w:pPr>
        <w:jc w:val="both"/>
      </w:pPr>
      <w:bookmarkStart w:id="0" w:name="_GoBack"/>
      <w:bookmarkEnd w:id="0"/>
    </w:p>
    <w:p w14:paraId="450A489F" w14:textId="77777777" w:rsidR="006B0803" w:rsidRDefault="006B0803" w:rsidP="006B0803">
      <w:pPr>
        <w:jc w:val="both"/>
      </w:pPr>
    </w:p>
    <w:p w14:paraId="3690D441" w14:textId="6586F508" w:rsidR="006B0803" w:rsidRPr="00A66934" w:rsidRDefault="006B0803" w:rsidP="006B0803">
      <w:pPr>
        <w:jc w:val="center"/>
        <w:rPr>
          <w:b/>
          <w:i/>
        </w:rPr>
      </w:pPr>
      <w:r w:rsidRPr="00A66934">
        <w:rPr>
          <w:b/>
          <w:i/>
        </w:rPr>
        <w:t>L’altro MANN: dal 30 maggio, i tesori dei depositi in mostra</w:t>
      </w:r>
    </w:p>
    <w:p w14:paraId="46BAB759" w14:textId="607EA787" w:rsidR="006B0803" w:rsidRPr="00A66934" w:rsidRDefault="006B0803" w:rsidP="006B0803">
      <w:pPr>
        <w:jc w:val="center"/>
        <w:rPr>
          <w:b/>
          <w:i/>
        </w:rPr>
      </w:pPr>
      <w:r w:rsidRPr="00A66934">
        <w:rPr>
          <w:b/>
          <w:i/>
        </w:rPr>
        <w:t xml:space="preserve">Il direttore </w:t>
      </w:r>
      <w:proofErr w:type="spellStart"/>
      <w:r w:rsidRPr="00A66934">
        <w:rPr>
          <w:b/>
          <w:i/>
        </w:rPr>
        <w:t>Giulierini</w:t>
      </w:r>
      <w:proofErr w:type="spellEnd"/>
      <w:r w:rsidRPr="00A66934">
        <w:rPr>
          <w:b/>
          <w:i/>
        </w:rPr>
        <w:t>: “</w:t>
      </w:r>
      <w:r w:rsidR="00262AD9">
        <w:rPr>
          <w:b/>
          <w:i/>
        </w:rPr>
        <w:t xml:space="preserve">Un </w:t>
      </w:r>
      <w:r w:rsidRPr="00A66934">
        <w:rPr>
          <w:b/>
          <w:i/>
        </w:rPr>
        <w:t xml:space="preserve">patrimonio </w:t>
      </w:r>
      <w:r w:rsidR="00262AD9">
        <w:rPr>
          <w:b/>
          <w:i/>
        </w:rPr>
        <w:t xml:space="preserve">straordinario </w:t>
      </w:r>
      <w:r w:rsidRPr="00A66934">
        <w:rPr>
          <w:b/>
          <w:i/>
        </w:rPr>
        <w:t>da condividere”</w:t>
      </w:r>
    </w:p>
    <w:p w14:paraId="34C068A6" w14:textId="6A71481B" w:rsidR="006B0803" w:rsidRPr="00A66934" w:rsidRDefault="006B0803" w:rsidP="006B0803">
      <w:pPr>
        <w:jc w:val="center"/>
        <w:rPr>
          <w:b/>
          <w:i/>
        </w:rPr>
      </w:pPr>
      <w:r w:rsidRPr="00A66934">
        <w:rPr>
          <w:b/>
          <w:i/>
        </w:rPr>
        <w:t>Sessanta reperti in esposizione nelle sale degli Affreschi</w:t>
      </w:r>
    </w:p>
    <w:p w14:paraId="1F1A6FB0" w14:textId="6F2948DD" w:rsidR="006B0803" w:rsidRPr="00A66934" w:rsidRDefault="006B0803" w:rsidP="006B0803">
      <w:pPr>
        <w:jc w:val="center"/>
        <w:rPr>
          <w:b/>
          <w:i/>
        </w:rPr>
      </w:pPr>
      <w:r w:rsidRPr="00A66934">
        <w:rPr>
          <w:b/>
          <w:i/>
        </w:rPr>
        <w:t>A settembre, un focus su ori, tessili e commestibili</w:t>
      </w:r>
    </w:p>
    <w:p w14:paraId="16E8166B" w14:textId="0193796C" w:rsidR="006B0803" w:rsidRPr="00A66934" w:rsidRDefault="006B0803" w:rsidP="006B0803">
      <w:pPr>
        <w:jc w:val="center"/>
        <w:rPr>
          <w:b/>
          <w:i/>
        </w:rPr>
      </w:pPr>
      <w:r w:rsidRPr="00A66934">
        <w:rPr>
          <w:b/>
          <w:i/>
        </w:rPr>
        <w:t>Nuovi progetti per trasformare i depositi in luoghi della conoscenza e dell’accessibilità</w:t>
      </w:r>
    </w:p>
    <w:p w14:paraId="6D2B88F1" w14:textId="77777777" w:rsidR="006B0803" w:rsidRPr="006B0803" w:rsidRDefault="006B0803" w:rsidP="006B0803">
      <w:pPr>
        <w:jc w:val="both"/>
      </w:pPr>
    </w:p>
    <w:p w14:paraId="6CFE4E80" w14:textId="2BA36226" w:rsidR="006B0803" w:rsidRPr="006B0803" w:rsidRDefault="006B0803" w:rsidP="006B0803">
      <w:pPr>
        <w:jc w:val="both"/>
      </w:pPr>
      <w:r w:rsidRPr="006B0803">
        <w:t xml:space="preserve">Potrebbero essere definiti come tesori nascosti. In realtà, </w:t>
      </w:r>
      <w:r w:rsidRPr="00A66934">
        <w:rPr>
          <w:b/>
        </w:rPr>
        <w:t>le sessanta opere presenti nell’allestimento “L’altro MANN. Depositi in mostra” sono il simbolo di una progressiva restituzione del patrimonio museale alla città e ai turisti.</w:t>
      </w:r>
      <w:r w:rsidRPr="006B0803">
        <w:t xml:space="preserve"> L’esposizione, inaugurata lunedì 30 maggio nelle sale degli Affreschi, si espanderà, entro la fine del settembre 2022, anche nel Plastico di Pompei: dalle suppellettili delle città vesuviane alle armi dei gladiatori, dai tessili agli ori, con un </w:t>
      </w:r>
      <w:r w:rsidRPr="00262AD9">
        <w:rPr>
          <w:i/>
        </w:rPr>
        <w:t xml:space="preserve">focus </w:t>
      </w:r>
      <w:r w:rsidRPr="006B0803">
        <w:t xml:space="preserve">sui commestibili. </w:t>
      </w:r>
      <w:r w:rsidRPr="00A66934">
        <w:rPr>
          <w:b/>
        </w:rPr>
        <w:t>Una mostra</w:t>
      </w:r>
      <w:r w:rsidRPr="00A66934">
        <w:rPr>
          <w:b/>
          <w:i/>
        </w:rPr>
        <w:t xml:space="preserve"> in fieri</w:t>
      </w:r>
      <w:r w:rsidRPr="00A66934">
        <w:rPr>
          <w:b/>
        </w:rPr>
        <w:t xml:space="preserve"> che, </w:t>
      </w:r>
      <w:r w:rsidRPr="00262AD9">
        <w:t>basata sull’incessante lavoro di “scavo” e studio negli immensi depositi del Museo Archeologico Nazionale di Napoli</w:t>
      </w:r>
      <w:r w:rsidRPr="00A66934">
        <w:rPr>
          <w:b/>
        </w:rPr>
        <w:t>, prelude al raddoppio delle collezioni pompeiane presentate al pubblico</w:t>
      </w:r>
      <w:r w:rsidR="0097034C">
        <w:t xml:space="preserve">. </w:t>
      </w:r>
      <w:r w:rsidR="0097034C" w:rsidRPr="0097034C">
        <w:rPr>
          <w:b/>
        </w:rPr>
        <w:t xml:space="preserve">E c’è una curiosità: tanti tesori, oggi custoditi nei depositi, hanno rappresentato veri e propri </w:t>
      </w:r>
      <w:r w:rsidR="0097034C" w:rsidRPr="0097034C">
        <w:rPr>
          <w:b/>
          <w:i/>
        </w:rPr>
        <w:t>cult</w:t>
      </w:r>
      <w:r w:rsidR="0097034C" w:rsidRPr="0097034C">
        <w:rPr>
          <w:b/>
        </w:rPr>
        <w:t xml:space="preserve"> per la letteratura scientifica sin dal momento della loro scoperta durante gli scavi nelle città vesuviane</w:t>
      </w:r>
      <w:r w:rsidR="0097034C">
        <w:t xml:space="preserve">. </w:t>
      </w:r>
    </w:p>
    <w:p w14:paraId="73166561" w14:textId="25F678FA" w:rsidR="006B0803" w:rsidRPr="00A66934" w:rsidRDefault="006B0803" w:rsidP="006B0803">
      <w:pPr>
        <w:jc w:val="both"/>
        <w:rPr>
          <w:b/>
        </w:rPr>
      </w:pPr>
      <w:r w:rsidRPr="00A66934">
        <w:rPr>
          <w:b/>
        </w:rPr>
        <w:t>“</w:t>
      </w:r>
      <w:r w:rsidRPr="00A66934">
        <w:rPr>
          <w:b/>
          <w:i/>
        </w:rPr>
        <w:t>L'altro MANN</w:t>
      </w:r>
      <w:r w:rsidRPr="00656989">
        <w:rPr>
          <w:rFonts w:asciiTheme="minorHAnsi" w:eastAsiaTheme="minorHAnsi" w:hAnsiTheme="minorHAnsi" w:cstheme="minorBidi"/>
          <w:b/>
          <w:i/>
        </w:rPr>
        <w:t xml:space="preserve"> non è solo una vetrina di meravi</w:t>
      </w:r>
      <w:r w:rsidRPr="00A66934">
        <w:rPr>
          <w:b/>
          <w:i/>
        </w:rPr>
        <w:t>glie, in gran parte vesuviane, </w:t>
      </w:r>
      <w:r w:rsidRPr="00656989">
        <w:rPr>
          <w:rFonts w:asciiTheme="minorHAnsi" w:eastAsiaTheme="minorHAnsi" w:hAnsiTheme="minorHAnsi" w:cstheme="minorBidi"/>
          <w:b/>
          <w:i/>
        </w:rPr>
        <w:t> mai o poco viste, spesso in giro per il mondo, custodite negli ormai celebri depositi de</w:t>
      </w:r>
      <w:r w:rsidRPr="00A66934">
        <w:rPr>
          <w:b/>
          <w:i/>
        </w:rPr>
        <w:t xml:space="preserve">l Museo Archeologico, dalle Cavaiole a </w:t>
      </w:r>
      <w:proofErr w:type="spellStart"/>
      <w:r w:rsidRPr="00A66934">
        <w:rPr>
          <w:b/>
          <w:i/>
        </w:rPr>
        <w:t>Sing</w:t>
      </w:r>
      <w:proofErr w:type="spellEnd"/>
      <w:r w:rsidRPr="00A66934">
        <w:rPr>
          <w:b/>
          <w:i/>
        </w:rPr>
        <w:t xml:space="preserve"> </w:t>
      </w:r>
      <w:proofErr w:type="spellStart"/>
      <w:r w:rsidRPr="00A66934">
        <w:rPr>
          <w:b/>
          <w:i/>
        </w:rPr>
        <w:t>Sing</w:t>
      </w:r>
      <w:proofErr w:type="spellEnd"/>
      <w:r w:rsidRPr="00A66934">
        <w:rPr>
          <w:b/>
          <w:i/>
        </w:rPr>
        <w:t xml:space="preserve">. L'Altro MANN è, </w:t>
      </w:r>
      <w:r w:rsidRPr="00656989">
        <w:rPr>
          <w:rFonts w:asciiTheme="minorHAnsi" w:eastAsiaTheme="minorHAnsi" w:hAnsiTheme="minorHAnsi" w:cstheme="minorBidi"/>
          <w:b/>
          <w:i/>
        </w:rPr>
        <w:t>infatti</w:t>
      </w:r>
      <w:r w:rsidRPr="00A66934">
        <w:rPr>
          <w:b/>
          <w:i/>
        </w:rPr>
        <w:t>,</w:t>
      </w:r>
      <w:r w:rsidRPr="00656989">
        <w:rPr>
          <w:rFonts w:asciiTheme="minorHAnsi" w:eastAsiaTheme="minorHAnsi" w:hAnsiTheme="minorHAnsi" w:cstheme="minorBidi"/>
          <w:b/>
          <w:i/>
        </w:rPr>
        <w:t xml:space="preserve"> anche una straordinaria campionatura della parte 'rimanente' del nostro patrimonio museale, che vogliamo sia  sempre più valorizzata e condivisa non solo attraverso l'esposizione ma </w:t>
      </w:r>
      <w:r w:rsidR="00262AD9">
        <w:rPr>
          <w:rFonts w:asciiTheme="minorHAnsi" w:eastAsiaTheme="minorHAnsi" w:hAnsiTheme="minorHAnsi" w:cstheme="minorBidi"/>
          <w:b/>
          <w:i/>
        </w:rPr>
        <w:t xml:space="preserve">anche </w:t>
      </w:r>
      <w:r w:rsidRPr="00656989">
        <w:rPr>
          <w:rFonts w:asciiTheme="minorHAnsi" w:eastAsiaTheme="minorHAnsi" w:hAnsiTheme="minorHAnsi" w:cstheme="minorBidi"/>
          <w:b/>
          <w:i/>
        </w:rPr>
        <w:t>con la ricerca scientifica,  l'apporto del digitale e</w:t>
      </w:r>
      <w:r w:rsidR="00262AD9">
        <w:rPr>
          <w:rFonts w:asciiTheme="minorHAnsi" w:eastAsiaTheme="minorHAnsi" w:hAnsiTheme="minorHAnsi" w:cstheme="minorBidi"/>
          <w:b/>
          <w:i/>
        </w:rPr>
        <w:t>,</w:t>
      </w:r>
      <w:r w:rsidRPr="00656989">
        <w:rPr>
          <w:rFonts w:asciiTheme="minorHAnsi" w:eastAsiaTheme="minorHAnsi" w:hAnsiTheme="minorHAnsi" w:cstheme="minorBidi"/>
          <w:b/>
          <w:i/>
        </w:rPr>
        <w:t xml:space="preserve"> quindi</w:t>
      </w:r>
      <w:r w:rsidR="00262AD9">
        <w:rPr>
          <w:rFonts w:asciiTheme="minorHAnsi" w:eastAsiaTheme="minorHAnsi" w:hAnsiTheme="minorHAnsi" w:cstheme="minorBidi"/>
          <w:b/>
          <w:i/>
        </w:rPr>
        <w:t>,</w:t>
      </w:r>
      <w:r w:rsidRPr="00656989">
        <w:rPr>
          <w:rFonts w:asciiTheme="minorHAnsi" w:eastAsiaTheme="minorHAnsi" w:hAnsiTheme="minorHAnsi" w:cstheme="minorBidi"/>
          <w:b/>
          <w:i/>
        </w:rPr>
        <w:t xml:space="preserve"> la creazione di grandi banche date open. </w:t>
      </w:r>
      <w:r w:rsidRPr="00A66934">
        <w:rPr>
          <w:b/>
          <w:i/>
        </w:rPr>
        <w:t xml:space="preserve"> </w:t>
      </w:r>
      <w:r w:rsidRPr="00A66934">
        <w:rPr>
          <w:rFonts w:cstheme="minorHAnsi"/>
          <w:b/>
          <w:i/>
        </w:rPr>
        <w:t>È</w:t>
      </w:r>
      <w:r w:rsidRPr="00656989">
        <w:rPr>
          <w:rFonts w:asciiTheme="minorHAnsi" w:eastAsiaTheme="minorHAnsi" w:hAnsiTheme="minorHAnsi" w:cstheme="minorBidi"/>
          <w:b/>
          <w:i/>
        </w:rPr>
        <w:t xml:space="preserve"> differente da ciò che </w:t>
      </w:r>
      <w:r w:rsidRPr="00A66934">
        <w:rPr>
          <w:b/>
          <w:i/>
        </w:rPr>
        <w:t>siamo</w:t>
      </w:r>
      <w:r w:rsidR="00262AD9">
        <w:rPr>
          <w:b/>
          <w:i/>
        </w:rPr>
        <w:t xml:space="preserve"> abituati a  trovare nel  Museo:</w:t>
      </w:r>
      <w:r w:rsidRPr="00A66934">
        <w:rPr>
          <w:b/>
          <w:i/>
        </w:rPr>
        <w:t xml:space="preserve"> non una collezione, né una semplice mostra. </w:t>
      </w:r>
      <w:r w:rsidRPr="00A66934">
        <w:rPr>
          <w:rFonts w:cstheme="minorHAnsi"/>
          <w:b/>
          <w:i/>
        </w:rPr>
        <w:t>È</w:t>
      </w:r>
      <w:r w:rsidRPr="00A66934">
        <w:rPr>
          <w:b/>
          <w:i/>
        </w:rPr>
        <w:t xml:space="preserve"> soprattutto</w:t>
      </w:r>
      <w:r w:rsidRPr="00656989">
        <w:rPr>
          <w:rFonts w:asciiTheme="minorHAnsi" w:eastAsiaTheme="minorHAnsi" w:hAnsiTheme="minorHAnsi" w:cstheme="minorBidi"/>
          <w:b/>
          <w:i/>
        </w:rPr>
        <w:t>  un  progetto  da condividere con i nostri visitatori e tutta la collettività. Il lavoro sui de</w:t>
      </w:r>
      <w:r w:rsidRPr="00A66934">
        <w:rPr>
          <w:b/>
          <w:i/>
        </w:rPr>
        <w:t xml:space="preserve">positi in questi anni è </w:t>
      </w:r>
      <w:r w:rsidRPr="00656989">
        <w:rPr>
          <w:rFonts w:asciiTheme="minorHAnsi" w:eastAsiaTheme="minorHAnsi" w:hAnsiTheme="minorHAnsi" w:cstheme="minorBidi"/>
          <w:b/>
          <w:i/>
        </w:rPr>
        <w:t>stato incessante e continua, a partire dal riordino e  la messa in sicurezza anche in chiave antisismica. Il nostro obiettivo</w:t>
      </w:r>
      <w:r w:rsidRPr="00A66934">
        <w:rPr>
          <w:b/>
          <w:i/>
        </w:rPr>
        <w:t xml:space="preserve"> è una </w:t>
      </w:r>
      <w:r w:rsidRPr="00656989">
        <w:rPr>
          <w:rFonts w:asciiTheme="minorHAnsi" w:eastAsiaTheme="minorHAnsi" w:hAnsiTheme="minorHAnsi" w:cstheme="minorBidi"/>
          <w:b/>
          <w:i/>
        </w:rPr>
        <w:t>fruizione pubblica</w:t>
      </w:r>
      <w:r w:rsidRPr="00A66934">
        <w:rPr>
          <w:b/>
          <w:i/>
        </w:rPr>
        <w:t xml:space="preserve"> più larga possibile</w:t>
      </w:r>
      <w:r w:rsidRPr="00656989">
        <w:rPr>
          <w:rFonts w:asciiTheme="minorHAnsi" w:eastAsiaTheme="minorHAnsi" w:hAnsiTheme="minorHAnsi" w:cstheme="minorBidi"/>
          <w:b/>
          <w:i/>
        </w:rPr>
        <w:t>, con l'idea conclusiva di espandere gli stessi depositi in altri luoghi de</w:t>
      </w:r>
      <w:r w:rsidRPr="00A66934">
        <w:rPr>
          <w:b/>
          <w:i/>
        </w:rPr>
        <w:t>lla città</w:t>
      </w:r>
      <w:r w:rsidRPr="00A66934">
        <w:rPr>
          <w:b/>
        </w:rPr>
        <w:t xml:space="preserve">”, commenta il Direttore del MANN, Paolo Giulierini. </w:t>
      </w:r>
    </w:p>
    <w:p w14:paraId="3D3C3532" w14:textId="496BDAD8" w:rsidR="006B0803" w:rsidRPr="006B0803" w:rsidRDefault="006B0803" w:rsidP="006B0803">
      <w:pPr>
        <w:jc w:val="both"/>
      </w:pPr>
      <w:r w:rsidRPr="00A66934">
        <w:rPr>
          <w:b/>
        </w:rPr>
        <w:t xml:space="preserve">La mostra, curata dalle funzionarie archeologhe del Museo Laura Forte e </w:t>
      </w:r>
      <w:proofErr w:type="spellStart"/>
      <w:r w:rsidRPr="00A66934">
        <w:rPr>
          <w:b/>
        </w:rPr>
        <w:t>Marialucia</w:t>
      </w:r>
      <w:proofErr w:type="spellEnd"/>
      <w:r w:rsidRPr="00A66934">
        <w:rPr>
          <w:b/>
        </w:rPr>
        <w:t xml:space="preserve"> </w:t>
      </w:r>
      <w:proofErr w:type="spellStart"/>
      <w:r w:rsidRPr="00A66934">
        <w:rPr>
          <w:b/>
        </w:rPr>
        <w:t>Giacco</w:t>
      </w:r>
      <w:proofErr w:type="spellEnd"/>
      <w:r w:rsidRPr="00A66934">
        <w:rPr>
          <w:b/>
        </w:rPr>
        <w:t>, è introdotta da alcuni reperti, raramente esposti in passato e presentati oggi su una grande pedana circolare</w:t>
      </w:r>
      <w:r w:rsidRPr="006B0803">
        <w:t xml:space="preserve">:  un cratere a volute con corteo bacchico in marmo (da Villa San Marco a </w:t>
      </w:r>
      <w:r w:rsidRPr="006B0803">
        <w:rPr>
          <w:i/>
        </w:rPr>
        <w:t>Stabiae</w:t>
      </w:r>
      <w:r w:rsidRPr="006B0803">
        <w:t>, prima metà del I sec. d.C.),  una cassaforte in bronzo, ferro e legno con amorini e personaggi dionisiaci (da Pompei, Casa di Gaio Vibio Italo, I sec. d.C.), un tavolo pieghevole con piccoli satiri (area vesuviana, I sec. d.C.), uno sgabello con maschere e motivi vegetali (da Pompei, casa di Romolo e Remo, I sec. d.C.), un originalissimo scaldaliquidi a forma di cinta muraria (da Pompei, I sec. d.C.), alcuni candelabri (da Ercolano e Pompei, I sec. d.C.). Nelle sale in cui si snoda questa prima parte dell’itinerario di visita, possibile ammirare altri tesori che raccontano la vita delle città vesuviane</w:t>
      </w:r>
      <w:r>
        <w:t xml:space="preserve"> e</w:t>
      </w:r>
      <w:r w:rsidRPr="006B0803">
        <w:t xml:space="preserve"> la bellezza delle antiche </w:t>
      </w:r>
      <w:r w:rsidRPr="006B0803">
        <w:rPr>
          <w:i/>
        </w:rPr>
        <w:t>domus</w:t>
      </w:r>
      <w:r w:rsidRPr="006B0803">
        <w:t xml:space="preserve">. </w:t>
      </w:r>
      <w:r w:rsidRPr="0055708F">
        <w:rPr>
          <w:b/>
        </w:rPr>
        <w:t>L’esposizione si sofferma sugli ambienti esterni delle case</w:t>
      </w:r>
      <w:r w:rsidRPr="006B0803">
        <w:t xml:space="preserve">, mostrandone  i ricchi apparati decorativi:  da non perdere </w:t>
      </w:r>
      <w:r w:rsidRPr="0055708F">
        <w:rPr>
          <w:b/>
        </w:rPr>
        <w:t>le bocche di fontana bronzee</w:t>
      </w:r>
      <w:r w:rsidRPr="006B0803">
        <w:t xml:space="preserve"> con pescatore e Amorino e oca (da Pompei, casa della Fontana Piccola, I sec. d.C.), con satiro che regge un otre (da Pompei, casa del centenario, I sec. d.C.) e con Amorino e delfino (da Pompei, I sec. </w:t>
      </w:r>
      <w:r w:rsidRPr="006B0803">
        <w:lastRenderedPageBreak/>
        <w:t xml:space="preserve">d.C.); </w:t>
      </w:r>
      <w:r w:rsidRPr="0055708F">
        <w:rPr>
          <w:b/>
        </w:rPr>
        <w:t>la decorazione marmorea di fontana con Ninfa</w:t>
      </w:r>
      <w:r w:rsidRPr="006B0803">
        <w:t xml:space="preserve"> (da Pompei, I sec. d.C.); </w:t>
      </w:r>
      <w:r w:rsidRPr="0055708F">
        <w:rPr>
          <w:b/>
        </w:rPr>
        <w:t xml:space="preserve">gli </w:t>
      </w:r>
      <w:r w:rsidRPr="0055708F">
        <w:rPr>
          <w:b/>
          <w:i/>
        </w:rPr>
        <w:t>oscilla</w:t>
      </w:r>
      <w:r w:rsidRPr="0055708F">
        <w:rPr>
          <w:b/>
        </w:rPr>
        <w:t xml:space="preserve"> in marmo</w:t>
      </w:r>
      <w:r w:rsidRPr="006B0803">
        <w:t xml:space="preserve"> (rilievi in sospensione, da Pompei, I sec. d.C.) con le raffigurazioni di una Menade danzante davanti a un altare, una Vittoria alata e Ercole con la cerva </w:t>
      </w:r>
      <w:proofErr w:type="spellStart"/>
      <w:r w:rsidRPr="006B0803">
        <w:t>cerinite</w:t>
      </w:r>
      <w:proofErr w:type="spellEnd"/>
      <w:r w:rsidRPr="006B0803">
        <w:t xml:space="preserve">. Il verde lussureggiante delle </w:t>
      </w:r>
      <w:r>
        <w:t>case negli insediamenti alle falde del vulcano</w:t>
      </w:r>
      <w:r w:rsidRPr="006B0803">
        <w:t xml:space="preserve"> è tes</w:t>
      </w:r>
      <w:r w:rsidR="00E746F0">
        <w:t>timoniato anche da tre splendidi affreschi</w:t>
      </w:r>
      <w:r w:rsidRPr="006B0803">
        <w:t xml:space="preserve"> con </w:t>
      </w:r>
      <w:r w:rsidR="00E746F0">
        <w:t>scene di giardino (da Ercolano e</w:t>
      </w:r>
      <w:r w:rsidRPr="006B0803">
        <w:t xml:space="preserve"> Pompei, inizio I sec. d.C.). </w:t>
      </w:r>
    </w:p>
    <w:p w14:paraId="3E2E2EC3" w14:textId="21F2F270" w:rsidR="006B0803" w:rsidRDefault="006B0803" w:rsidP="006B0803">
      <w:pPr>
        <w:jc w:val="both"/>
      </w:pPr>
      <w:r w:rsidRPr="00A66934">
        <w:rPr>
          <w:b/>
        </w:rPr>
        <w:t>Sono tante le curiosità che i visitatori rintracciano nell’allestimento</w:t>
      </w:r>
      <w:r w:rsidR="006631EF" w:rsidRPr="00A66934">
        <w:rPr>
          <w:b/>
        </w:rPr>
        <w:t>, firmato dall’architetto Andrea Mandara con Claudia Pescatori e realizzato con la grafica di Francesca Pavese</w:t>
      </w:r>
      <w:r w:rsidRPr="006B0803">
        <w:t xml:space="preserve">: ad esempio, </w:t>
      </w:r>
      <w:r>
        <w:t>chi non sapesse cosa è</w:t>
      </w:r>
      <w:r w:rsidRPr="006B0803">
        <w:t xml:space="preserve"> la </w:t>
      </w:r>
      <w:proofErr w:type="spellStart"/>
      <w:r w:rsidRPr="006B0803">
        <w:rPr>
          <w:i/>
        </w:rPr>
        <w:t>pelvis</w:t>
      </w:r>
      <w:proofErr w:type="spellEnd"/>
      <w:r>
        <w:t xml:space="preserve"> (</w:t>
      </w:r>
      <w:r w:rsidRPr="006B0803">
        <w:t>un bacino per le abluzioni</w:t>
      </w:r>
      <w:r>
        <w:t>)</w:t>
      </w:r>
      <w:r w:rsidRPr="006B0803">
        <w:t>, può apprendere che i cittadini dell’area vesuviana decoravano queste suppellettili, come dimostra un’</w:t>
      </w:r>
      <w:r w:rsidRPr="006B0803">
        <w:rPr>
          <w:i/>
        </w:rPr>
        <w:t>applique</w:t>
      </w:r>
      <w:r w:rsidRPr="006B0803">
        <w:t xml:space="preserve"> bronzea con scena di toletta femminile. E, ancora, gli appassionati dell’iconografia dedicata alla dea della bellezza, non devono perdere, in mostra, la </w:t>
      </w:r>
      <w:r>
        <w:t xml:space="preserve">sensuale </w:t>
      </w:r>
      <w:r w:rsidRPr="006B0803">
        <w:t>scul</w:t>
      </w:r>
      <w:r>
        <w:t>tura marmorea della Venere Anadi</w:t>
      </w:r>
      <w:r w:rsidRPr="006B0803">
        <w:t xml:space="preserve">omene, che esce dalle acque (da Pompei, Casa del Camillo, I sec. d.C.). </w:t>
      </w:r>
    </w:p>
    <w:p w14:paraId="49D19BDA" w14:textId="3D135660" w:rsidR="006B0803" w:rsidRPr="006B0803" w:rsidRDefault="006B0803" w:rsidP="006B0803">
      <w:pPr>
        <w:jc w:val="both"/>
      </w:pPr>
      <w:r>
        <w:t xml:space="preserve">Infine, un gradito ritorno: </w:t>
      </w:r>
      <w:r w:rsidR="006631EF">
        <w:t xml:space="preserve">la mostra </w:t>
      </w:r>
      <w:r>
        <w:t>includ</w:t>
      </w:r>
      <w:r w:rsidR="00741FF8">
        <w:t>e una sezione dedicata al mondo d</w:t>
      </w:r>
      <w:r>
        <w:t>ei Gladiatori; si procede, così, nel percorso di “musealizzazione” della collezio</w:t>
      </w:r>
      <w:r w:rsidR="00741FF8">
        <w:t xml:space="preserve">ne presentata al pubblico per la prima volta dopo decenni </w:t>
      </w:r>
      <w:r>
        <w:t xml:space="preserve">durante la grande esposizione in programma al Museo sino allo scorso aprile.  </w:t>
      </w:r>
      <w:r w:rsidR="00741FF8">
        <w:t xml:space="preserve">In esposizione non solo le armi che contraddistinguevano le diverse tipologie di gladiatori (i reperti sono venuti alla luce a Pompei dal 1766), ma anche altri documenti unici, conservati negli Archivi dell’Archeologico, come le tempere di Francesco Morelli. </w:t>
      </w:r>
    </w:p>
    <w:p w14:paraId="148E2382" w14:textId="3186E151" w:rsidR="006B0803" w:rsidRPr="006B0803" w:rsidRDefault="00262AD9" w:rsidP="006B0803">
      <w:pPr>
        <w:jc w:val="both"/>
      </w:pPr>
      <w:r>
        <w:rPr>
          <w:b/>
        </w:rPr>
        <w:t>Il percorso</w:t>
      </w:r>
      <w:r w:rsidR="006B0803" w:rsidRPr="00A66934">
        <w:rPr>
          <w:b/>
        </w:rPr>
        <w:t xml:space="preserve"> </w:t>
      </w:r>
      <w:r w:rsidR="006631EF" w:rsidRPr="00A66934">
        <w:rPr>
          <w:b/>
        </w:rPr>
        <w:t xml:space="preserve">“L’altro MANN” </w:t>
      </w:r>
      <w:r w:rsidR="006B0803" w:rsidRPr="00A66934">
        <w:rPr>
          <w:b/>
        </w:rPr>
        <w:t>si radica sui prog</w:t>
      </w:r>
      <w:r w:rsidR="006631EF" w:rsidRPr="00A66934">
        <w:rPr>
          <w:b/>
        </w:rPr>
        <w:t>etti che, da anni, la direzione museale</w:t>
      </w:r>
      <w:r w:rsidR="006B0803" w:rsidRPr="00A66934">
        <w:rPr>
          <w:b/>
        </w:rPr>
        <w:t xml:space="preserve"> sta dedicando al patrimonio dei depositi</w:t>
      </w:r>
      <w:r w:rsidR="006B0803" w:rsidRPr="006B0803">
        <w:t xml:space="preserve">: se il riordino di </w:t>
      </w:r>
      <w:proofErr w:type="spellStart"/>
      <w:r w:rsidR="006B0803" w:rsidRPr="006B0803">
        <w:t>Sing</w:t>
      </w:r>
      <w:proofErr w:type="spellEnd"/>
      <w:r w:rsidR="006B0803" w:rsidRPr="006B0803">
        <w:t xml:space="preserve"> </w:t>
      </w:r>
      <w:proofErr w:type="spellStart"/>
      <w:r w:rsidR="006B0803" w:rsidRPr="006B0803">
        <w:t>Sing</w:t>
      </w:r>
      <w:proofErr w:type="spellEnd"/>
      <w:r w:rsidR="006B0803" w:rsidRPr="006B0803">
        <w:t xml:space="preserve">, che custodisce migliaia di manufatti nei sottotetti dell’Archeologico, è prodromico alla fruibilità (naturalmente contingentata e sorvegliata) da parte dei visitatori, </w:t>
      </w:r>
      <w:r w:rsidR="006B0803" w:rsidRPr="00A66934">
        <w:rPr>
          <w:b/>
        </w:rPr>
        <w:t>si lavora anche sull’area delle Cavaiole</w:t>
      </w:r>
      <w:r w:rsidR="006B0803" w:rsidRPr="00262AD9">
        <w:t>, dove sono conservati i materiali lapidei.</w:t>
      </w:r>
      <w:r w:rsidR="006B0803" w:rsidRPr="006B0803">
        <w:t xml:space="preserve"> </w:t>
      </w:r>
      <w:r w:rsidR="006B0803" w:rsidRPr="00A66934">
        <w:rPr>
          <w:b/>
        </w:rPr>
        <w:t xml:space="preserve">In collaborazione con la facoltà di architettura dell’Università di Delft e con il Ministero della Cultura olandese, è ai nastri di partenza il </w:t>
      </w:r>
      <w:r w:rsidR="006B0803" w:rsidRPr="00A66934">
        <w:rPr>
          <w:b/>
          <w:i/>
        </w:rPr>
        <w:t xml:space="preserve">masterplan </w:t>
      </w:r>
      <w:r w:rsidR="006B0803" w:rsidRPr="00A66934">
        <w:rPr>
          <w:b/>
        </w:rPr>
        <w:t>per pianificare la trasformazione di questo settore dei depositi in un’area visibile al pubblico</w:t>
      </w:r>
      <w:r w:rsidR="006B0803" w:rsidRPr="006B0803">
        <w:t xml:space="preserve">. Ancora, in tema di prestigiose collaborazioni istituzionali, </w:t>
      </w:r>
      <w:r w:rsidR="006B0803" w:rsidRPr="00A66934">
        <w:rPr>
          <w:b/>
        </w:rPr>
        <w:t>grazie a una convenzione stipulata con l’Opificio delle Pietre Dure di Firenze, sono stati restaurati un “borsellino” e un nastro in filo d’oro, che saranno espositi in anteprima a settembre con l’ampliamento della mostra “L’altro MANN</w:t>
      </w:r>
      <w:r w:rsidR="006631EF" w:rsidRPr="00A66934">
        <w:rPr>
          <w:b/>
        </w:rPr>
        <w:t>” ne</w:t>
      </w:r>
      <w:r w:rsidR="006B0803" w:rsidRPr="00A66934">
        <w:rPr>
          <w:b/>
        </w:rPr>
        <w:t>lla sala del Plastico di Pompei</w:t>
      </w:r>
      <w:r w:rsidR="006B0803" w:rsidRPr="006B0803">
        <w:t xml:space="preserve">.  A questa sperimentazione iniziale seguirà il restauro di un ulteriore gruppo di una ventina di reperti tessili, in filo d’oro e non. </w:t>
      </w:r>
    </w:p>
    <w:p w14:paraId="2BF4E854" w14:textId="315015F5" w:rsidR="006B0803" w:rsidRPr="006B0803" w:rsidRDefault="006B0803" w:rsidP="006B0803">
      <w:pPr>
        <w:jc w:val="both"/>
      </w:pPr>
      <w:r w:rsidRPr="006B0803">
        <w:t xml:space="preserve">I depositi sono, certamente, </w:t>
      </w:r>
      <w:r w:rsidR="0055708F">
        <w:t xml:space="preserve">luoghi </w:t>
      </w:r>
      <w:r w:rsidRPr="006B0803">
        <w:t>di studio</w:t>
      </w:r>
      <w:r w:rsidRPr="00A66934">
        <w:rPr>
          <w:b/>
        </w:rPr>
        <w:t>: in collaborazione con l’Accademia di Belle Arti di Napoli, si sta sviluppando un filone di ricerca riservato a docenti, studenti e tirocinanti per scoprire e tutelare i tesori della collezione Spinelli</w:t>
      </w:r>
      <w:r w:rsidRPr="006B0803">
        <w:t xml:space="preserve"> del Museo Archeologico Nazionale di Napoli,</w:t>
      </w:r>
      <w:r w:rsidR="006631EF">
        <w:t xml:space="preserve"> collezione</w:t>
      </w:r>
      <w:r w:rsidRPr="006B0803">
        <w:t xml:space="preserve"> che raccoglie antichi manufatti</w:t>
      </w:r>
      <w:r w:rsidR="00AC0F8E">
        <w:t xml:space="preserve"> della necropoli di </w:t>
      </w:r>
      <w:proofErr w:type="spellStart"/>
      <w:r w:rsidR="00AC0F8E" w:rsidRPr="00AC0F8E">
        <w:rPr>
          <w:i/>
        </w:rPr>
        <w:t>Suessula</w:t>
      </w:r>
      <w:proofErr w:type="spellEnd"/>
      <w:r w:rsidR="00AC0F8E" w:rsidRPr="00AC0F8E">
        <w:t xml:space="preserve">, </w:t>
      </w:r>
      <w:r w:rsidR="00AC0F8E">
        <w:t xml:space="preserve">nel territorio di Acerra. </w:t>
      </w:r>
      <w:r w:rsidRPr="006B0803">
        <w:t xml:space="preserve"> </w:t>
      </w:r>
    </w:p>
    <w:p w14:paraId="1F9F4561" w14:textId="7CE10BBC" w:rsidR="006B0803" w:rsidRPr="00A66934" w:rsidRDefault="006B0803" w:rsidP="006B0803">
      <w:pPr>
        <w:jc w:val="both"/>
        <w:rPr>
          <w:b/>
        </w:rPr>
      </w:pPr>
      <w:r w:rsidRPr="006B0803">
        <w:t xml:space="preserve">Dall’indagine alla divulgazione: </w:t>
      </w:r>
      <w:r w:rsidR="00741FF8">
        <w:rPr>
          <w:b/>
        </w:rPr>
        <w:t>i</w:t>
      </w:r>
      <w:r w:rsidRPr="00A66934">
        <w:rPr>
          <w:b/>
        </w:rPr>
        <w:t>l 9 giugno e</w:t>
      </w:r>
      <w:r w:rsidR="00741FF8">
        <w:rPr>
          <w:b/>
        </w:rPr>
        <w:t xml:space="preserve"> il 7 luglio, in occasione delle aperture serali del giovedì, tour guidati alla mostra “L’altro MANN”. </w:t>
      </w:r>
    </w:p>
    <w:p w14:paraId="3C354F37" w14:textId="77777777" w:rsidR="006B0803" w:rsidRPr="006B0803" w:rsidRDefault="006B0803" w:rsidP="006B0803">
      <w:pPr>
        <w:jc w:val="both"/>
      </w:pPr>
    </w:p>
    <w:p w14:paraId="642CB490" w14:textId="77777777" w:rsidR="006B0803" w:rsidRPr="006B0803" w:rsidRDefault="006B0803" w:rsidP="006B0803">
      <w:pPr>
        <w:jc w:val="both"/>
      </w:pPr>
      <w:r w:rsidRPr="006B0803">
        <w:t>Antonella Carlo</w:t>
      </w:r>
    </w:p>
    <w:p w14:paraId="2217F25F" w14:textId="77777777" w:rsidR="006B0803" w:rsidRPr="006B0803" w:rsidRDefault="006B0803" w:rsidP="006B0803">
      <w:pPr>
        <w:jc w:val="both"/>
      </w:pPr>
      <w:r w:rsidRPr="006B0803">
        <w:t>Responsabile Ufficio Comunicazione MANN</w:t>
      </w:r>
    </w:p>
    <w:p w14:paraId="0BB9FC3C" w14:textId="77777777" w:rsidR="006B0803" w:rsidRPr="006B0803" w:rsidRDefault="006B0803" w:rsidP="006B0803">
      <w:pPr>
        <w:jc w:val="both"/>
      </w:pPr>
      <w:r w:rsidRPr="006B0803">
        <w:t>Tel: 0814422205</w:t>
      </w:r>
    </w:p>
    <w:p w14:paraId="790E357A" w14:textId="77777777" w:rsidR="006B0803" w:rsidRPr="006B0803" w:rsidRDefault="006B0803" w:rsidP="006B0803">
      <w:pPr>
        <w:jc w:val="both"/>
      </w:pPr>
      <w:r w:rsidRPr="006B0803">
        <w:t xml:space="preserve">Mail: </w:t>
      </w:r>
      <w:hyperlink r:id="rId7" w:history="1">
        <w:r w:rsidRPr="006B0803">
          <w:rPr>
            <w:rStyle w:val="Collegamentoipertestuale"/>
          </w:rPr>
          <w:t>man-na.ufficiostampa@beniculturali.it</w:t>
        </w:r>
      </w:hyperlink>
    </w:p>
    <w:p w14:paraId="1A012C19" w14:textId="33827BF9" w:rsidR="00050EFE" w:rsidRPr="006B0803" w:rsidRDefault="00614537" w:rsidP="006467E6">
      <w:pPr>
        <w:jc w:val="both"/>
      </w:pPr>
      <w:hyperlink r:id="rId8" w:history="1">
        <w:r w:rsidR="006B0803" w:rsidRPr="006B0803">
          <w:rPr>
            <w:rStyle w:val="Collegamentoipertestuale"/>
          </w:rPr>
          <w:t>Antonella.carlo@beniculturali.it</w:t>
        </w:r>
      </w:hyperlink>
      <w:r w:rsidR="006B0803" w:rsidRPr="006B0803">
        <w:t xml:space="preserve"> </w:t>
      </w:r>
    </w:p>
    <w:sectPr w:rsidR="00050EFE" w:rsidRPr="006B0803" w:rsidSect="008A25A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2793" w:right="1134" w:bottom="1133" w:left="1134" w:header="19" w:footer="2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CD44734" w15:done="0"/>
  <w15:commentEx w15:paraId="18637289" w15:done="0"/>
  <w15:commentEx w15:paraId="041E480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392954" w16cex:dateUtc="2022-05-25T20:16:00Z"/>
  <w16cex:commentExtensible w16cex:durableId="26392993" w16cex:dateUtc="2022-05-25T20:17:00Z"/>
  <w16cex:commentExtensible w16cex:durableId="263929A5" w16cex:dateUtc="2022-05-25T20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CD44734" w16cid:durableId="26392954"/>
  <w16cid:commentId w16cid:paraId="18637289" w16cid:durableId="26392993"/>
  <w16cid:commentId w16cid:paraId="041E480B" w16cid:durableId="263929A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F3681A" w14:textId="77777777" w:rsidR="00614537" w:rsidRDefault="00614537" w:rsidP="00F46475">
      <w:r>
        <w:separator/>
      </w:r>
    </w:p>
  </w:endnote>
  <w:endnote w:type="continuationSeparator" w:id="0">
    <w:p w14:paraId="009CAAFF" w14:textId="77777777" w:rsidR="00614537" w:rsidRDefault="00614537" w:rsidP="00F46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B78120" w14:textId="77777777" w:rsidR="009E3A2C" w:rsidRDefault="009E3A2C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130BDF" w14:textId="381F81BF" w:rsidR="00353328" w:rsidRDefault="00D53AC3" w:rsidP="004D07A8">
    <w:pPr>
      <w:pStyle w:val="Pidipagina"/>
      <w:tabs>
        <w:tab w:val="left" w:pos="142"/>
      </w:tabs>
      <w:ind w:left="-1134"/>
    </w:pPr>
    <w:r>
      <w:rPr>
        <w:noProof/>
        <w:lang w:eastAsia="it-IT"/>
      </w:rPr>
      <w:drawing>
        <wp:inline distT="0" distB="0" distL="0" distR="0" wp14:anchorId="2BC15900" wp14:editId="245D31BF">
          <wp:extent cx="8917634" cy="922352"/>
          <wp:effectExtent l="0" t="0" r="0" b="5080"/>
          <wp:docPr id="10" name="Immagine 1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magine 10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62" t="12650" r="-1262" b="14862"/>
                  <a:stretch/>
                </pic:blipFill>
                <pic:spPr bwMode="auto">
                  <a:xfrm>
                    <a:off x="0" y="0"/>
                    <a:ext cx="8917634" cy="92235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33A938" w14:textId="77777777" w:rsidR="009E3A2C" w:rsidRDefault="009E3A2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18C2C0" w14:textId="77777777" w:rsidR="00614537" w:rsidRDefault="00614537" w:rsidP="00F46475">
      <w:r>
        <w:separator/>
      </w:r>
    </w:p>
  </w:footnote>
  <w:footnote w:type="continuationSeparator" w:id="0">
    <w:p w14:paraId="497621DA" w14:textId="77777777" w:rsidR="00614537" w:rsidRDefault="00614537" w:rsidP="00F464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E21A30" w14:textId="77777777" w:rsidR="009E3A2C" w:rsidRDefault="009E3A2C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780FAE" w14:textId="7F033F9C" w:rsidR="00F46475" w:rsidRDefault="00D53AC3" w:rsidP="008A25AA">
    <w:pPr>
      <w:pStyle w:val="Intestazione"/>
      <w:ind w:left="-1134"/>
    </w:pPr>
    <w:r w:rsidRPr="001E7756">
      <w:rPr>
        <w:noProof/>
        <w:lang w:eastAsia="it-IT"/>
      </w:rPr>
      <w:drawing>
        <wp:inline distT="0" distB="0" distL="0" distR="0" wp14:anchorId="5D49715B" wp14:editId="3556F2C8">
          <wp:extent cx="7570212" cy="1768503"/>
          <wp:effectExtent l="0" t="0" r="0" b="0"/>
          <wp:docPr id="9" name="Immagin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3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0212" cy="17685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14EF63" w14:textId="77777777" w:rsidR="009E3A2C" w:rsidRDefault="009E3A2C">
    <w:pPr>
      <w:pStyle w:val="Intestazione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aura forte">
    <w15:presenceInfo w15:providerId="Windows Live" w15:userId="2fc7c41b34f0c85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doNotDisplayPageBoundaries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475"/>
    <w:rsid w:val="00050EFE"/>
    <w:rsid w:val="0006472F"/>
    <w:rsid w:val="000A57BC"/>
    <w:rsid w:val="000D6A27"/>
    <w:rsid w:val="001770AD"/>
    <w:rsid w:val="001D39BF"/>
    <w:rsid w:val="001F58AB"/>
    <w:rsid w:val="00231F79"/>
    <w:rsid w:val="00262AD9"/>
    <w:rsid w:val="00322A8A"/>
    <w:rsid w:val="00353328"/>
    <w:rsid w:val="00377BCF"/>
    <w:rsid w:val="00382D2C"/>
    <w:rsid w:val="003D213C"/>
    <w:rsid w:val="004236F9"/>
    <w:rsid w:val="00427CFE"/>
    <w:rsid w:val="004D07A8"/>
    <w:rsid w:val="0055708F"/>
    <w:rsid w:val="0057722F"/>
    <w:rsid w:val="00594D68"/>
    <w:rsid w:val="00614537"/>
    <w:rsid w:val="006467E6"/>
    <w:rsid w:val="0065746F"/>
    <w:rsid w:val="006631EF"/>
    <w:rsid w:val="006B0803"/>
    <w:rsid w:val="006C1EEB"/>
    <w:rsid w:val="00741FF8"/>
    <w:rsid w:val="00782A28"/>
    <w:rsid w:val="00787E15"/>
    <w:rsid w:val="007A651A"/>
    <w:rsid w:val="00805C6F"/>
    <w:rsid w:val="00897C62"/>
    <w:rsid w:val="008A25AA"/>
    <w:rsid w:val="00910952"/>
    <w:rsid w:val="00933499"/>
    <w:rsid w:val="0097034C"/>
    <w:rsid w:val="00984230"/>
    <w:rsid w:val="009E3A2C"/>
    <w:rsid w:val="00A66934"/>
    <w:rsid w:val="00A85D05"/>
    <w:rsid w:val="00AC0F8E"/>
    <w:rsid w:val="00AE607D"/>
    <w:rsid w:val="00AE6AA1"/>
    <w:rsid w:val="00B40722"/>
    <w:rsid w:val="00B52C5E"/>
    <w:rsid w:val="00C430F3"/>
    <w:rsid w:val="00C445D8"/>
    <w:rsid w:val="00C740E7"/>
    <w:rsid w:val="00C81BC5"/>
    <w:rsid w:val="00CD5EEE"/>
    <w:rsid w:val="00D25DC0"/>
    <w:rsid w:val="00D53AC3"/>
    <w:rsid w:val="00D76B44"/>
    <w:rsid w:val="00D821A4"/>
    <w:rsid w:val="00DF7494"/>
    <w:rsid w:val="00E14E50"/>
    <w:rsid w:val="00E746F0"/>
    <w:rsid w:val="00F46475"/>
    <w:rsid w:val="00FC4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9421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4647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46475"/>
  </w:style>
  <w:style w:type="paragraph" w:styleId="Pidipagina">
    <w:name w:val="footer"/>
    <w:basedOn w:val="Normale"/>
    <w:link w:val="PidipaginaCarattere"/>
    <w:uiPriority w:val="99"/>
    <w:unhideWhenUsed/>
    <w:rsid w:val="00F4647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4647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B080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B0803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6B0803"/>
    <w:rPr>
      <w:color w:val="0563C1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CD5EE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D5EE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D5EEE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D5EE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D5EEE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4647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46475"/>
  </w:style>
  <w:style w:type="paragraph" w:styleId="Pidipagina">
    <w:name w:val="footer"/>
    <w:basedOn w:val="Normale"/>
    <w:link w:val="PidipaginaCarattere"/>
    <w:uiPriority w:val="99"/>
    <w:unhideWhenUsed/>
    <w:rsid w:val="00F4647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4647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B080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B0803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6B0803"/>
    <w:rPr>
      <w:color w:val="0563C1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CD5EE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D5EE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D5EEE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D5EE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D5EEE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tonella.carlo@beniculturali.it" TargetMode="External"/><Relationship Id="rId13" Type="http://schemas.openxmlformats.org/officeDocument/2006/relationships/header" Target="header3.xml"/><Relationship Id="rId1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hyperlink" Target="mailto:man-na.ufficiostampa@beniculturali.it" TargetMode="External"/><Relationship Id="rId12" Type="http://schemas.openxmlformats.org/officeDocument/2006/relationships/footer" Target="footer2.xml"/><Relationship Id="rId17" Type="http://schemas.microsoft.com/office/2016/09/relationships/commentsIds" Target="commentsIds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20" Type="http://schemas.microsoft.com/office/2018/08/relationships/commentsExtensible" Target="commentsExtensi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1077</Words>
  <Characters>6141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Antonella</cp:lastModifiedBy>
  <cp:revision>2</cp:revision>
  <dcterms:created xsi:type="dcterms:W3CDTF">2022-05-30T07:42:00Z</dcterms:created>
  <dcterms:modified xsi:type="dcterms:W3CDTF">2022-05-30T07:42:00Z</dcterms:modified>
</cp:coreProperties>
</file>